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7C68069">
      <w:pPr>
        <w:keepNext w:val="0"/>
        <w:keepLines w:val="0"/>
        <w:pageBreakBefore w:val="0"/>
        <w:widowControl w:val="0"/>
        <w:kinsoku/>
        <w:wordWrap/>
        <w:overflowPunct/>
        <w:topLinePunct w:val="0"/>
        <w:autoSpaceDE/>
        <w:autoSpaceDN/>
        <w:bidi w:val="0"/>
        <w:adjustRightInd/>
        <w:snapToGrid/>
        <w:jc w:val="center"/>
        <w:textAlignment w:val="auto"/>
        <w:rPr>
          <w:rFonts w:hint="eastAsia" w:ascii="Times New Roman" w:hAnsi="Times New Roman" w:eastAsia="方正小标宋_GBK" w:cs="Times New Roman"/>
          <w:b w:val="0"/>
          <w:bCs w:val="0"/>
          <w:kern w:val="2"/>
          <w:sz w:val="44"/>
          <w:szCs w:val="44"/>
          <w:lang w:val="en-US" w:eastAsia="zh-CN" w:bidi="ar-SA"/>
        </w:rPr>
      </w:pPr>
      <w:r>
        <w:rPr>
          <w:rFonts w:hint="eastAsia" w:ascii="Times New Roman" w:hAnsi="Times New Roman" w:eastAsia="方正小标宋_GBK" w:cs="Times New Roman"/>
          <w:b w:val="0"/>
          <w:bCs w:val="0"/>
          <w:kern w:val="2"/>
          <w:sz w:val="44"/>
          <w:szCs w:val="44"/>
          <w:lang w:val="en-US" w:eastAsia="zh-CN" w:bidi="ar-SA"/>
        </w:rPr>
        <w:t>胸怀国之大者 心系万家灯火 共商发展大计</w:t>
      </w:r>
    </w:p>
    <w:p w14:paraId="4DA509F0">
      <w:pPr>
        <w:keepNext w:val="0"/>
        <w:keepLines w:val="0"/>
        <w:pageBreakBefore w:val="0"/>
        <w:widowControl w:val="0"/>
        <w:kinsoku/>
        <w:wordWrap/>
        <w:overflowPunct/>
        <w:topLinePunct w:val="0"/>
        <w:autoSpaceDE/>
        <w:autoSpaceDN/>
        <w:bidi w:val="0"/>
        <w:adjustRightInd/>
        <w:snapToGrid/>
        <w:jc w:val="center"/>
        <w:textAlignment w:val="auto"/>
        <w:rPr>
          <w:rFonts w:hint="default" w:ascii="Times New Roman" w:hAnsi="Times New Roman" w:eastAsia="方正小标宋_GBK" w:cs="Times New Roman"/>
          <w:b w:val="0"/>
          <w:bCs w:val="0"/>
          <w:kern w:val="2"/>
          <w:sz w:val="44"/>
          <w:szCs w:val="44"/>
          <w:lang w:val="en-US" w:eastAsia="zh-CN" w:bidi="ar-SA"/>
        </w:rPr>
      </w:pPr>
      <w:r>
        <w:rPr>
          <w:rFonts w:hint="eastAsia" w:ascii="Times New Roman" w:hAnsi="Times New Roman" w:eastAsia="方正小标宋_GBK" w:cs="Times New Roman"/>
          <w:b w:val="0"/>
          <w:bCs w:val="0"/>
          <w:kern w:val="2"/>
          <w:sz w:val="44"/>
          <w:szCs w:val="44"/>
          <w:lang w:val="en-US" w:eastAsia="zh-CN" w:bidi="ar-SA"/>
        </w:rPr>
        <w:t>——重庆两会期间市人大代表依法履职行权综述</w:t>
      </w:r>
    </w:p>
    <w:p w14:paraId="1FF346D1">
      <w:pPr>
        <w:rPr>
          <w:rFonts w:hint="default" w:ascii="Times New Roman" w:hAnsi="Times New Roman" w:eastAsia="方正仿宋_GBK" w:cs="Times New Roman"/>
          <w:sz w:val="32"/>
          <w:szCs w:val="32"/>
          <w:lang w:val="en-US" w:eastAsia="zh-CN"/>
        </w:rPr>
      </w:pPr>
    </w:p>
    <w:p w14:paraId="457A8712">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汇集民智、凝聚共识、贡献力量，助推新重庆建设乘势而上、整体跃升。</w:t>
      </w:r>
    </w:p>
    <w:p w14:paraId="632A7953">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bookmarkStart w:id="0" w:name="_GoBack"/>
      <w:bookmarkEnd w:id="0"/>
      <w:r>
        <w:rPr>
          <w:rFonts w:hint="default" w:ascii="Times New Roman" w:hAnsi="Times New Roman" w:eastAsia="方正仿宋_GBK" w:cs="Times New Roman"/>
          <w:sz w:val="32"/>
          <w:szCs w:val="32"/>
          <w:lang w:val="en-US" w:eastAsia="zh-CN"/>
        </w:rPr>
        <w:t>1月28日至2月1日，市六届人大四次会议隆重举行。来自全市各行各业的800多名市人大代表肩负使命赴会，胸怀</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国之大者</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，心系</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万家灯火</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，依法履职尽责、共商发展大计，认真审议讨论各项报告，审查市国民经济和社会发展第十五个五年规划纲要草案（以下简称市</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十五五</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规划纲要草案），践行全过程人民民主，作出各项决议决定，圆满完成各项议程，为助力</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十五五</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开局起步、奋力谱写中国式现代化重庆篇章贡献人大力量。</w:t>
      </w:r>
    </w:p>
    <w:p w14:paraId="55B4B420">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依法履职</w:t>
      </w:r>
    </w:p>
    <w:p w14:paraId="378F1539">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审议审查各项报告及草案</w:t>
      </w:r>
    </w:p>
    <w:p w14:paraId="43208A26">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市六届人大四次会议是在全市上下深入学习贯彻党的二十大和二十届历次全会精神，深化落实习近平总书记视察重庆重要讲话重要指示精神、奋力实现</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十五五</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良好开局的关键时期召开的一次十分重要的会议，是全市人民政治生活中的一件大事。</w:t>
      </w:r>
    </w:p>
    <w:p w14:paraId="12D84651">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本次会议听取和审议了市政府工作报告，审查了市</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十五五</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规划纲要草案、市2025年国民经济和社会发展计划执行情况与2026年国民经济和社会发展计划草案的报告、2026年国民经济和社会发展计划草案、市2025年预算执行情况和2026年预算草案的报告、2026年市级预算草案；听取和审议了市人大常委会、市高法院、市检察院工作报告，审议重庆市实施代表法办法（修订草案），以及选举事项。</w:t>
      </w:r>
    </w:p>
    <w:p w14:paraId="24570A85">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各代表团举行全体会议审议市政府工作报告。代表们认为报告符合重庆实际、顺应人民期盼，充分体现了我市争先进位的姿态、主动作为的意识、真抓实干的决心，是一个好报告；将认真落实市委、市政府工作要求，团结奋斗、唯实争先，扎实推动高质量发展，以实干实绩为奋力谱写中国式现代化重庆篇章贡献新力量。</w:t>
      </w:r>
    </w:p>
    <w:p w14:paraId="3277CD71">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不少代表围绕强化改革开放创新三大动力支撑、因地制宜发展新质生产力、构建现代化产业体系、超大城市现代化治理、提振和扩大消费、保障和改善民生等方面提出意见和建议。</w:t>
      </w:r>
    </w:p>
    <w:p w14:paraId="57737D8E">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当前，重庆智能网联新能源汽车产业已迈入全国第一方阵。市政府工作报告明确，全面推进智能网联新能源汽车之都建设。市人大代表张兴明认为，重庆在推动跨界产业融合上已有良好基础，但在高能级创新平台和新能源汽车产业的融合上，仍存在供需结构性错配，建议实施</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龙头出题、平台揭榜</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精准对接攻坚行动等，推动解决产业面临的共性迫切难题。</w:t>
      </w:r>
    </w:p>
    <w:p w14:paraId="32A38CF5">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前瞻布局未来产业，加快推动成渝氢走廊建设</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进一步破除隐性壁垒，在行业标准、市场准入等方面实现真正‘一盘棋’</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以交通一体化推动产业协同化、服务同城化</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十四五</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期间，成渝地区双城经济圈建设持续走深走实，围绕助推成渝地区双城经济圈发展能级提升，不少代表聚焦成渝氢走廊建设、区域市场一体化发展、交通互联互通等提出真知灼见。</w:t>
      </w:r>
    </w:p>
    <w:p w14:paraId="31D9B064">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积极探索超大城市现代化治理新路子，是现代化新重庆建设的</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必答题</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。市政府工作报告提出，推动数字重庆体系能力建设，持续增强</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141</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基层智治体系实战能力。</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关键还是要让更多的数据跑起来。</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市人大代表王琴建议，进一步加强部门协同和数据共享，让数据多跑路、群众少跑腿，让基层把更多时间和精力用在服务群众、解决实际问题上。</w:t>
      </w:r>
    </w:p>
    <w:p w14:paraId="46ECEA99">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聚力献策</w:t>
      </w:r>
    </w:p>
    <w:p w14:paraId="317572FB">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共绘重庆</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十五五</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蓝图</w:t>
      </w:r>
    </w:p>
    <w:p w14:paraId="1E517FBC">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十五五</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时期，重庆将迎来直辖30周年、西部大开发战略实施30周年、成渝地区双城经济圈建设10周年，进入厚植新优势、跨越新关口、开创新局面的战略窗口期。瞄准高质量发展、高水平开放、高品质生活、高效能治理，重庆将怎样聚力攻关绘蓝图？</w:t>
      </w:r>
    </w:p>
    <w:p w14:paraId="0BB737F7">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各代表团审查了市</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十五五</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规划纲要草案。代表们认为，该草案将中央部署和市委要求贯穿始终，符合重庆发展实际，总体安排科学合理、积极可行，并围绕打造全国高质量发展重要增长极、推动科技创新引领的现代化产业体系实现新跃升、大幅提升内陆开放综合枢纽能级和辐射力、数智赋能超大城市现代化治理、城乡融合乡村全面振兴、持续深化</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中国式现代化，民生为大</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市域实践等方面提出相关建议，还围绕统筹优化区域发展格局、重点项目谋划推进、</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一老一小</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民生问题等具体方面提出意见建议。</w:t>
      </w:r>
    </w:p>
    <w:p w14:paraId="14523768">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例如，市人大代表周昊杰建议，进一步强化两江新区极核带动作用，依托其坚实的产业基础，与周边区县特别是工业大区实现更多产业联动、创新联动。市人大代表易先勇建议，推动涪陵龙头港争创国家港口型物流枢纽，加快推动广涪柳铁路前期工作、力争</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十五五</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时期开工建设。市人大代表徐加燕建议进一步加大对城口等偏远区县的政策资金倾斜力度，将安张铁路、西渝高铁及县域对外通道整体纳入全市综合立体交通大体系。市人大代表王毕华建议，加强城市更新的统筹配套，加大对民生空间、公益空间的建设力度，推动解决城市更新碎片化问题，提升基本公共服务能力，以人口为基准进一步优化资源配置、强化制度保障。</w:t>
      </w:r>
    </w:p>
    <w:p w14:paraId="154E763E">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市人大财经委员会汇总综合各代表团审查意见，作进一步审查。市人民政府根据审查意见，对市</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十五五</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规划纲要草案进行认真修改，最终形成关于市</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十五五</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规划纲要草案的审查结果报告。报告从全力提升成渝地区双城经济圈发展能级，加快建设带动全国高质量发展的重要增长极和新的动力源；强化创新引领新质生产力发展，加快构建具有国际竞争力的现代化产业体系；扎实推进深化改革扩大开放，积极融入全国统一大市场；促进区域协调发展和城乡融合发展，扎实推动共同富裕；着力推进全面绿色低碳转型发展，加快建设美丽重庆；高水平统筹发展和安全，全力防范化解各类风险等方面提出具体建议。</w:t>
      </w:r>
    </w:p>
    <w:p w14:paraId="301B9051">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强化落实</w:t>
      </w:r>
    </w:p>
    <w:p w14:paraId="0328EF04">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以实干实绩实效谱写新篇章</w:t>
      </w:r>
    </w:p>
    <w:p w14:paraId="0B270497">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1月29日，6位来自科技、生态环保、农业、经济、基层、体育领域的市人大代表，走上</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代表通道</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畅谈心声、回应关切。1月30日，会议举行</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‘中国式现代化，民生为大’的重庆实践</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专题记者会，介绍重庆坚持民生为大、不断提升群众获得感的实践与实效。</w:t>
      </w:r>
    </w:p>
    <w:p w14:paraId="46E98AB5">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既总结展示成果成效，又规划新发展蓝图、广泛汇聚民意民智，推动方案从草案到达成全体共识，市人代会坚持践行全过程人民民主，代表们围绕市政府工作报告、市</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十五五</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规划纲要草案等审议审查、积极建言献策。一次次讨论凝聚共识，一条条建议承载期盼，汇聚起实现</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十五五</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开好局起好步、奋力谱写中国式现代化重庆篇章的强大力量。</w:t>
      </w:r>
    </w:p>
    <w:p w14:paraId="7EAA0473">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从城市能级整体提升，到迭代升级</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33618</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现代制造业集群体系；从做强本地零部件企业擦亮新能源汽车产业底色，到推动新型储能、智能绿色装备、</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人工智能+</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一体化发展；从发展临空经济，到擦亮</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新韵重庆</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城市文旅新名片；从</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投资于物</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与</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投资于人</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紧密结合，到推进智慧健康养老产业发展、填补</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看护真空</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让青少年安心过假期……</w:t>
      </w:r>
    </w:p>
    <w:p w14:paraId="39894726">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大会期间，代表们立足全市经济社会发展大局，依法履职尽责，从促进智能网联汽车发展、促进就业、高层建筑消防安全管理等方面向大会提出议案建议。截至1月30日12时，大会秘书处共收到议案10件，收到代表建议1351件，这些议案建议不仅承载着沉甸甸的民意，也映照出全过程人民民主的生动实践。</w:t>
      </w:r>
    </w:p>
    <w:p w14:paraId="1A949D5C">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2月1日，大会闭幕会上，各项决议草案一一提请表决：关于市政府工作报告的决议，通过！关于市</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十五五</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规划纲要的决议，通过！……每一次表决通过，都伴随着热烈的掌声。这掌声，是对过去成绩的肯定，更是向着未来进发的号角。</w:t>
      </w:r>
    </w:p>
    <w:p w14:paraId="6322D865">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在雄壮的国歌声中，市六届人大四次会议胜利闭幕。</w:t>
      </w:r>
    </w:p>
    <w:p w14:paraId="47428D22">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时代赋予重任，使命催人奋进。代表们信心满满地走出会场，奔赴各自工作岗位，用实际行动宣传贯彻落实大会精神。大家表示，将进一步振奋精神，以快马加鞭的干劲、蹄疾步稳的韧劲，一起为梦想奋斗、为幸福打拼，向着新目标，扬帆再出发。</w:t>
      </w:r>
    </w:p>
    <w:p w14:paraId="43A65D29">
      <w:pPr>
        <w:keepNext w:val="0"/>
        <w:keepLines w:val="0"/>
        <w:pageBreakBefore w:val="0"/>
        <w:widowControl w:val="0"/>
        <w:kinsoku/>
        <w:wordWrap/>
        <w:overflowPunct/>
        <w:topLinePunct w:val="0"/>
        <w:autoSpaceDE/>
        <w:autoSpaceDN/>
        <w:bidi w:val="0"/>
        <w:adjustRightInd/>
        <w:snapToGrid/>
        <w:ind w:firstLine="640"/>
        <w:jc w:val="right"/>
        <w:textAlignment w:val="auto"/>
        <w:rPr>
          <w:rFonts w:hint="default" w:ascii="Times New Roman" w:hAnsi="Times New Roman" w:eastAsia="方正仿宋_GBK" w:cs="Times New Roman"/>
          <w:sz w:val="32"/>
          <w:szCs w:val="32"/>
          <w:lang w:val="en-US" w:eastAsia="zh-CN"/>
        </w:rPr>
      </w:pPr>
      <w:r>
        <w:rPr>
          <w:rFonts w:hint="eastAsia" w:ascii="Times New Roman" w:hAnsi="Times New Roman" w:eastAsia="方正仿宋_GBK" w:cs="Times New Roman"/>
          <w:sz w:val="32"/>
          <w:szCs w:val="32"/>
          <w:lang w:val="en-US" w:eastAsia="zh-CN"/>
        </w:rPr>
        <w:t>来源：重庆市人民政府</w:t>
      </w:r>
    </w:p>
    <w:p w14:paraId="261C2E8A">
      <w:pPr>
        <w:rPr>
          <w:rFonts w:hint="eastAsia"/>
          <w:lang w:val="en-US" w:eastAsia="zh-CN"/>
        </w:rPr>
      </w:pPr>
    </w:p>
    <w:sectPr>
      <w:footerReference r:id="rId3" w:type="default"/>
      <w:footerReference r:id="rId4" w:type="even"/>
      <w:pgSz w:w="11906" w:h="16838"/>
      <w:pgMar w:top="1701" w:right="1474" w:bottom="1417"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embedRegular r:id="rId1" w:fontKey="{7D35A864-7DBB-4BA9-9982-16CB1AEDD954}"/>
  </w:font>
  <w:font w:name="方正小标宋_GBK">
    <w:panose1 w:val="02000000000000000000"/>
    <w:charset w:val="86"/>
    <w:family w:val="script"/>
    <w:pitch w:val="default"/>
    <w:sig w:usb0="A00002BF" w:usb1="38CF7CFA" w:usb2="00082016" w:usb3="00000000" w:csb0="00040001" w:csb1="00000000"/>
    <w:embedRegular r:id="rId2" w:fontKey="{20F612CB-0D70-491E-B805-A748431CE442}"/>
  </w:font>
  <w:font w:name="方正仿宋_GBK">
    <w:panose1 w:val="02000000000000000000"/>
    <w:charset w:val="86"/>
    <w:family w:val="script"/>
    <w:pitch w:val="default"/>
    <w:sig w:usb0="A00002BF" w:usb1="38CF7CFA" w:usb2="00082016" w:usb3="00000000" w:csb0="00040001" w:csb1="00000000"/>
    <w:embedRegular r:id="rId3" w:fontKey="{A8776CDB-CD63-4E35-B753-72694D303236}"/>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2C272DB">
    <w:pPr>
      <w:pStyle w:val="3"/>
      <w:rPr>
        <w:rFonts w:hint="eastAsia" w:ascii="Times New Roman" w:hAnsi="Times New Roman" w:cs="Times New Roman"/>
        <w:sz w:val="32"/>
        <w:szCs w:val="32"/>
        <w:lang w:eastAsia="zh-CN"/>
      </w:rPr>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FB55903">
                          <w:pPr>
                            <w:pStyle w:val="3"/>
                            <w:rPr>
                              <w:rFonts w:hint="default" w:ascii="Times New Roman" w:hAnsi="Times New Roman" w:cs="Times New Roman" w:eastAsiaTheme="minorEastAsia"/>
                              <w:sz w:val="32"/>
                              <w:szCs w:val="32"/>
                              <w:lang w:val="en-US" w:eastAsia="zh-CN"/>
                            </w:rPr>
                          </w:pPr>
                          <w:r>
                            <w:rPr>
                              <w:rFonts w:hint="eastAsia" w:ascii="Times New Roman" w:hAnsi="Times New Roman" w:cs="Times New Roman"/>
                              <w:sz w:val="32"/>
                              <w:szCs w:val="32"/>
                              <w:lang w:val="en-US" w:eastAsia="zh-CN"/>
                            </w:rPr>
                            <w:t xml:space="preserve">— </w:t>
                          </w:r>
                          <w:r>
                            <w:rPr>
                              <w:rFonts w:hint="default" w:ascii="Times New Roman" w:hAnsi="Times New Roman" w:cs="Times New Roman"/>
                              <w:sz w:val="32"/>
                              <w:szCs w:val="32"/>
                            </w:rPr>
                            <w:fldChar w:fldCharType="begin"/>
                          </w:r>
                          <w:r>
                            <w:rPr>
                              <w:rFonts w:hint="default" w:ascii="Times New Roman" w:hAnsi="Times New Roman" w:cs="Times New Roman"/>
                              <w:sz w:val="32"/>
                              <w:szCs w:val="32"/>
                            </w:rPr>
                            <w:instrText xml:space="preserve"> PAGE  \* MERGEFORMAT </w:instrText>
                          </w:r>
                          <w:r>
                            <w:rPr>
                              <w:rFonts w:hint="default" w:ascii="Times New Roman" w:hAnsi="Times New Roman" w:cs="Times New Roman"/>
                              <w:sz w:val="32"/>
                              <w:szCs w:val="32"/>
                            </w:rPr>
                            <w:fldChar w:fldCharType="separate"/>
                          </w:r>
                          <w:r>
                            <w:rPr>
                              <w:rFonts w:hint="default" w:ascii="Times New Roman" w:hAnsi="Times New Roman" w:cs="Times New Roman"/>
                              <w:sz w:val="32"/>
                              <w:szCs w:val="32"/>
                            </w:rPr>
                            <w:t>2</w:t>
                          </w:r>
                          <w:r>
                            <w:rPr>
                              <w:rFonts w:hint="default" w:ascii="Times New Roman" w:hAnsi="Times New Roman" w:cs="Times New Roman"/>
                              <w:sz w:val="32"/>
                              <w:szCs w:val="32"/>
                            </w:rPr>
                            <w:fldChar w:fldCharType="end"/>
                          </w:r>
                          <w:r>
                            <w:rPr>
                              <w:rFonts w:hint="eastAsia" w:ascii="Times New Roman" w:hAnsi="Times New Roman" w:cs="Times New Roman"/>
                              <w:sz w:val="32"/>
                              <w:szCs w:val="32"/>
                              <w:lang w:val="en-US" w:eastAsia="zh-CN"/>
                            </w:rP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10G3Y3AgAAbw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QxQHSzMMBESn3p0Qrtvh34&#10;7E1xBk1n+jnxlm9qlLJlPjwwh8FA+Xg64R5LKQ1SmsGipDLuy7/OYzz6BS8lDQYtpxrvihL5XqOP&#10;AAyj4UZjPxr6qO4MJhe9QS2diQsuyNEsnVGf8Z5WMQdcTHNkymkYzbvQDzveIxerVRd0tK4+VP0F&#10;TKFlYat3lsc0USpvV8cAaTvFo0C9KuhU3GAOu54NbyYO+p/7LurxP7H8DV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LNJWO7QAAAABQEAAA8AAAAAAAAAAQAgAAAAIgAAAGRycy9kb3ducmV2LnhtbFBL&#10;AQIUABQAAAAIAIdO4kC9dBt2NwIAAG8EAAAOAAAAAAAAAAEAIAAAAB8BAABkcnMvZTJvRG9jLnht&#10;bFBLBQYAAAAABgAGAFkBAADIBQAAAAA=&#10;">
              <v:fill on="f" focussize="0,0"/>
              <v:stroke on="f" weight="0.5pt"/>
              <v:imagedata o:title=""/>
              <o:lock v:ext="edit" aspectratio="f"/>
              <v:textbox inset="0mm,0mm,0mm,0mm" style="mso-fit-shape-to-text:t;">
                <w:txbxContent>
                  <w:p w14:paraId="6FB55903">
                    <w:pPr>
                      <w:pStyle w:val="3"/>
                      <w:rPr>
                        <w:rFonts w:hint="default" w:ascii="Times New Roman" w:hAnsi="Times New Roman" w:cs="Times New Roman" w:eastAsiaTheme="minorEastAsia"/>
                        <w:sz w:val="32"/>
                        <w:szCs w:val="32"/>
                        <w:lang w:val="en-US" w:eastAsia="zh-CN"/>
                      </w:rPr>
                    </w:pPr>
                    <w:r>
                      <w:rPr>
                        <w:rFonts w:hint="eastAsia" w:ascii="Times New Roman" w:hAnsi="Times New Roman" w:cs="Times New Roman"/>
                        <w:sz w:val="32"/>
                        <w:szCs w:val="32"/>
                        <w:lang w:val="en-US" w:eastAsia="zh-CN"/>
                      </w:rPr>
                      <w:t xml:space="preserve">— </w:t>
                    </w:r>
                    <w:r>
                      <w:rPr>
                        <w:rFonts w:hint="default" w:ascii="Times New Roman" w:hAnsi="Times New Roman" w:cs="Times New Roman"/>
                        <w:sz w:val="32"/>
                        <w:szCs w:val="32"/>
                      </w:rPr>
                      <w:fldChar w:fldCharType="begin"/>
                    </w:r>
                    <w:r>
                      <w:rPr>
                        <w:rFonts w:hint="default" w:ascii="Times New Roman" w:hAnsi="Times New Roman" w:cs="Times New Roman"/>
                        <w:sz w:val="32"/>
                        <w:szCs w:val="32"/>
                      </w:rPr>
                      <w:instrText xml:space="preserve"> PAGE  \* MERGEFORMAT </w:instrText>
                    </w:r>
                    <w:r>
                      <w:rPr>
                        <w:rFonts w:hint="default" w:ascii="Times New Roman" w:hAnsi="Times New Roman" w:cs="Times New Roman"/>
                        <w:sz w:val="32"/>
                        <w:szCs w:val="32"/>
                      </w:rPr>
                      <w:fldChar w:fldCharType="separate"/>
                    </w:r>
                    <w:r>
                      <w:rPr>
                        <w:rFonts w:hint="default" w:ascii="Times New Roman" w:hAnsi="Times New Roman" w:cs="Times New Roman"/>
                        <w:sz w:val="32"/>
                        <w:szCs w:val="32"/>
                      </w:rPr>
                      <w:t>2</w:t>
                    </w:r>
                    <w:r>
                      <w:rPr>
                        <w:rFonts w:hint="default" w:ascii="Times New Roman" w:hAnsi="Times New Roman" w:cs="Times New Roman"/>
                        <w:sz w:val="32"/>
                        <w:szCs w:val="32"/>
                      </w:rPr>
                      <w:fldChar w:fldCharType="end"/>
                    </w:r>
                    <w:r>
                      <w:rPr>
                        <w:rFonts w:hint="eastAsia" w:ascii="Times New Roman" w:hAnsi="Times New Roman" w:cs="Times New Roman"/>
                        <w:sz w:val="32"/>
                        <w:szCs w:val="32"/>
                        <w:lang w:val="en-US" w:eastAsia="zh-CN"/>
                      </w:rPr>
                      <w:t xml:space="preserve"> —</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rPr>
        <w:rFonts w:asciiTheme="minorHAnsi" w:hAnsiTheme="minorHAnsi" w:eastAsiaTheme="minorEastAsia" w:cstheme="minorBidi"/>
        <w:kern w:val="2"/>
        <w:sz w:val="21"/>
        <w:szCs w:val="24"/>
        <w:lang w:val="en-US" w:eastAsia="zh-CN" w:bidi="ar-SA"/>
      </w:rPr>
      <w:id w:val="147458382"/>
      <w:docPartObj>
        <w:docPartGallery w:val="autotext"/>
      </w:docPartObj>
    </w:sdtPr>
    <w:sdtEndPr>
      <w:rPr>
        <w:rFonts w:ascii="宋体" w:hAnsi="宋体" w:eastAsia="宋体" w:cstheme="minorBidi"/>
        <w:kern w:val="2"/>
        <w:sz w:val="28"/>
        <w:szCs w:val="28"/>
        <w:lang w:val="en-US" w:eastAsia="zh-CN" w:bidi="ar-SA"/>
      </w:rPr>
    </w:sdtEndPr>
    <w:sdtContent>
      <w:p w14:paraId="490CDFD7">
        <w:pPr>
          <w:pStyle w:val="3"/>
          <w:ind w:right="360" w:firstLine="420" w:firstLineChars="200"/>
          <w:rPr>
            <w:rFonts w:ascii="宋体" w:hAnsi="宋体" w:eastAsia="宋体"/>
            <w:sz w:val="28"/>
            <w:szCs w:val="28"/>
          </w:rPr>
        </w:pPr>
        <w:r>
          <w:rPr>
            <w:rFonts w:hint="eastAsia" w:ascii="宋体" w:hAnsi="宋体" w:eastAsia="宋体"/>
            <w:sz w:val="28"/>
            <w:szCs w:val="28"/>
          </w:rPr>
          <w:t xml:space="preserve">— </w:t>
        </w: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2</w:t>
        </w:r>
        <w:r>
          <w:rPr>
            <w:rFonts w:ascii="宋体" w:hAnsi="宋体" w:eastAsia="宋体"/>
            <w:sz w:val="28"/>
            <w:szCs w:val="28"/>
          </w:rPr>
          <w:fldChar w:fldCharType="end"/>
        </w:r>
        <w:r>
          <w:rPr>
            <w:rFonts w:ascii="宋体" w:hAnsi="宋体" w:eastAsia="宋体"/>
            <w:sz w:val="28"/>
            <w:szCs w:val="28"/>
          </w:rPr>
          <w:t xml:space="preserve"> </w:t>
        </w:r>
        <w:r>
          <w:rPr>
            <w:rFonts w:hint="eastAsia" w:ascii="宋体" w:hAnsi="宋体" w:eastAsia="宋体"/>
            <w:sz w:val="28"/>
            <w:szCs w:val="28"/>
          </w:rPr>
          <w:t>—</w:t>
        </w:r>
      </w:p>
    </w:sdtContent>
  </w:sdt>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Q3NzI5OTE3NDY1MGU4Y2MwMzRlZjI1MzQxMTA2MGYifQ=="/>
  </w:docVars>
  <w:rsids>
    <w:rsidRoot w:val="00951249"/>
    <w:rsid w:val="00083A3D"/>
    <w:rsid w:val="00107557"/>
    <w:rsid w:val="006707AB"/>
    <w:rsid w:val="00951249"/>
    <w:rsid w:val="009D49BB"/>
    <w:rsid w:val="00A5594D"/>
    <w:rsid w:val="00A95838"/>
    <w:rsid w:val="00CA01FA"/>
    <w:rsid w:val="07F2113F"/>
    <w:rsid w:val="14653790"/>
    <w:rsid w:val="165E05FB"/>
    <w:rsid w:val="1666025D"/>
    <w:rsid w:val="17FA6613"/>
    <w:rsid w:val="18655FC3"/>
    <w:rsid w:val="1CFE1B1D"/>
    <w:rsid w:val="255614AE"/>
    <w:rsid w:val="2A2A2602"/>
    <w:rsid w:val="33A01DA5"/>
    <w:rsid w:val="3515518B"/>
    <w:rsid w:val="3A803B61"/>
    <w:rsid w:val="3D134175"/>
    <w:rsid w:val="3E4C7FE1"/>
    <w:rsid w:val="406C50F2"/>
    <w:rsid w:val="424D6B7E"/>
    <w:rsid w:val="522C795B"/>
    <w:rsid w:val="58631B0A"/>
    <w:rsid w:val="594903C6"/>
    <w:rsid w:val="5985500A"/>
    <w:rsid w:val="5C817409"/>
    <w:rsid w:val="5CD645D9"/>
    <w:rsid w:val="5CE13766"/>
    <w:rsid w:val="657778C0"/>
    <w:rsid w:val="681C3140"/>
    <w:rsid w:val="69782D5D"/>
    <w:rsid w:val="6CCB3AEB"/>
    <w:rsid w:val="74454183"/>
    <w:rsid w:val="76D52218"/>
    <w:rsid w:val="776D1B6E"/>
    <w:rsid w:val="79690914"/>
    <w:rsid w:val="7B9C1CE2"/>
    <w:rsid w:val="7E301A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autoRedefine/>
    <w:qFormat/>
    <w:uiPriority w:val="9"/>
    <w:pPr>
      <w:spacing w:before="0" w:beforeAutospacing="1" w:after="0" w:afterAutospacing="1"/>
      <w:jc w:val="left"/>
    </w:pPr>
    <w:rPr>
      <w:rFonts w:hint="eastAsia" w:ascii="宋体" w:hAnsi="宋体" w:eastAsia="宋体" w:cs="宋体"/>
      <w:b/>
      <w:bCs/>
      <w:kern w:val="44"/>
      <w:sz w:val="48"/>
      <w:szCs w:val="48"/>
      <w:lang w:val="en-US" w:eastAsia="zh-CN" w:bidi="ar"/>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3">
    <w:name w:val="footer"/>
    <w:basedOn w:val="1"/>
    <w:link w:val="10"/>
    <w:unhideWhenUsed/>
    <w:qFormat/>
    <w:uiPriority w:val="99"/>
    <w:pPr>
      <w:tabs>
        <w:tab w:val="center" w:pos="4153"/>
        <w:tab w:val="right" w:pos="8306"/>
      </w:tabs>
      <w:snapToGrid w:val="0"/>
      <w:jc w:val="left"/>
    </w:pPr>
    <w:rPr>
      <w:sz w:val="18"/>
      <w:szCs w:val="18"/>
    </w:rPr>
  </w:style>
  <w:style w:type="paragraph" w:styleId="4">
    <w:name w:val="header"/>
    <w:basedOn w:val="1"/>
    <w:link w:val="9"/>
    <w:unhideWhenUsed/>
    <w:qFormat/>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semiHidden/>
    <w:unhideWhenUsed/>
    <w:qFormat/>
    <w:uiPriority w:val="99"/>
    <w:pPr>
      <w:widowControl/>
      <w:spacing w:before="100" w:beforeAutospacing="1" w:after="100" w:afterAutospacing="1"/>
      <w:jc w:val="left"/>
    </w:pPr>
    <w:rPr>
      <w:rFonts w:ascii="宋体" w:hAnsi="宋体" w:eastAsia="宋体" w:cs="宋体"/>
      <w:kern w:val="0"/>
      <w:sz w:val="24"/>
      <w:szCs w:val="24"/>
    </w:rPr>
  </w:style>
  <w:style w:type="character" w:styleId="8">
    <w:name w:val="Strong"/>
    <w:basedOn w:val="7"/>
    <w:qFormat/>
    <w:uiPriority w:val="22"/>
    <w:rPr>
      <w:b/>
    </w:rPr>
  </w:style>
  <w:style w:type="character" w:customStyle="1" w:styleId="9">
    <w:name w:val="页眉 Char"/>
    <w:basedOn w:val="7"/>
    <w:link w:val="4"/>
    <w:qFormat/>
    <w:uiPriority w:val="99"/>
    <w:rPr>
      <w:sz w:val="18"/>
      <w:szCs w:val="18"/>
    </w:rPr>
  </w:style>
  <w:style w:type="character" w:customStyle="1" w:styleId="10">
    <w:name w:val="页脚 Char"/>
    <w:basedOn w:val="7"/>
    <w:link w:val="3"/>
    <w:qFormat/>
    <w:uiPriority w:val="99"/>
    <w:rPr>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重庆化工职业学院</Company>
  <Pages>6</Pages>
  <Words>4632</Words>
  <Characters>4724</Characters>
  <Lines>12</Lines>
  <Paragraphs>3</Paragraphs>
  <TotalTime>2</TotalTime>
  <ScaleCrop>false</ScaleCrop>
  <LinksUpToDate>false</LinksUpToDate>
  <CharactersWithSpaces>4730</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2024-06-12T05:34:00Z</dcterms:created>
  <dc:creator>杨雅涵</dc:creator>
  <cp:lastModifiedBy>烟花季，伤一季</cp:lastModifiedBy>
  <dcterms:modified xsi:type="dcterms:W3CDTF">2026-04-27T13:22:57Z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CACE74BD8110409CA95C08CF2589FDE3_13</vt:lpwstr>
  </property>
  <property fmtid="{D5CDD505-2E9C-101B-9397-08002B2CF9AE}" pid="4" name="KSOTemplateDocerSaveRecord">
    <vt:lpwstr>eyJoZGlkIjoiMzEwNTM5NzYwMDRjMzkwZTVkZjY2ODkwMGIxNGU0OTUiLCJ1c2VySWQiOiIyMDY4Mzk0NjIifQ==</vt:lpwstr>
  </property>
</Properties>
</file>